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bookmarkStart w:id="0" w:name="__DdeLink__4_1292132279"/>
      <w:r>
        <w:rPr/>
        <w:t xml:space="preserve">Особенности выбора </w:t>
      </w:r>
      <w:bookmarkEnd w:id="0"/>
      <w:r>
        <w:rPr/>
        <w:t>стоматологических установок</w:t>
      </w:r>
    </w:p>
    <w:p>
      <w:pPr>
        <w:pStyle w:val="Normal"/>
        <w:rPr/>
      </w:pPr>
      <w:r>
        <w:rPr>
          <w:b w:val="false"/>
          <w:bCs w:val="false"/>
        </w:rPr>
        <w:t>Комплексная</w:t>
      </w:r>
      <w:r>
        <w:rPr>
          <w:b/>
          <w:bCs/>
        </w:rPr>
        <w:t xml:space="preserve"> с</w:t>
      </w:r>
      <w:r>
        <w:rPr>
          <w:b/>
          <w:bCs/>
        </w:rPr>
        <w:t>томатологическая установка</w:t>
      </w:r>
      <w:r>
        <w:rPr/>
        <w:t xml:space="preserve"> — важнейшее оборудование врача стоматолога. От его выбора напрямую зависит комфортность и качество решения разнообразных задач, будь то препарация эмали зуба или сложные ортодонтические работы. </w:t>
      </w:r>
      <w:r>
        <w:rPr/>
        <w:t>В</w:t>
      </w:r>
      <w:r>
        <w:rPr/>
        <w:t xml:space="preserve">ыбирать те или иные решения </w:t>
      </w:r>
      <w:r>
        <w:rPr/>
        <w:t>стоит в</w:t>
      </w:r>
      <w:r>
        <w:rPr/>
        <w:t xml:space="preserve"> зависимости от специализации специалиста и специфики его работ.</w:t>
      </w:r>
    </w:p>
    <w:p>
      <w:pPr>
        <w:pStyle w:val="Normal"/>
        <w:rPr/>
      </w:pPr>
      <w:r>
        <w:rPr/>
        <w:t>Современный рынок стоматологического оборудования довольно широк. Ведущие производители предлагают самые разные варианты данного оборудования, что позволяет каждому приобрести модель с требуемым функционалом.</w:t>
      </w:r>
    </w:p>
    <w:p>
      <w:pPr>
        <w:pStyle w:val="Normal"/>
        <w:rPr/>
      </w:pPr>
      <w:r>
        <w:rPr/>
        <w:t xml:space="preserve">Классическая </w:t>
      </w:r>
      <w:r>
        <w:rPr>
          <w:b/>
          <w:bCs/>
        </w:rPr>
        <w:t>стоматологическая установка</w:t>
      </w:r>
      <w:r>
        <w:rPr/>
        <w:t xml:space="preserve"> состоит из следующих блоков:</w:t>
      </w:r>
    </w:p>
    <w:p>
      <w:pPr>
        <w:pStyle w:val="Normal"/>
        <w:numPr>
          <w:ilvl w:val="0"/>
          <w:numId w:val="2"/>
        </w:numPr>
        <w:rPr/>
      </w:pPr>
      <w:r>
        <w:rPr/>
        <w:t>пациента,</w:t>
      </w:r>
    </w:p>
    <w:p>
      <w:pPr>
        <w:pStyle w:val="Normal"/>
        <w:numPr>
          <w:ilvl w:val="0"/>
          <w:numId w:val="2"/>
        </w:numPr>
        <w:rPr/>
      </w:pPr>
      <w:r>
        <w:rPr/>
        <w:t>врача,</w:t>
      </w:r>
    </w:p>
    <w:p>
      <w:pPr>
        <w:pStyle w:val="Normal"/>
        <w:numPr>
          <w:ilvl w:val="0"/>
          <w:numId w:val="2"/>
        </w:numPr>
        <w:rPr/>
      </w:pPr>
      <w:r>
        <w:rPr/>
        <w:t>ассистента.</w:t>
      </w:r>
    </w:p>
    <w:p>
      <w:pPr>
        <w:pStyle w:val="Normal"/>
        <w:ind w:left="0" w:right="0" w:hanging="0"/>
        <w:rPr/>
      </w:pPr>
      <w:r>
        <w:rPr/>
        <w:t>Выбирая подходящее оборудование важно уделить внимание каждому из компонентов по отдельности.</w:t>
      </w:r>
    </w:p>
    <w:p>
      <w:pPr>
        <w:pStyle w:val="Normal"/>
        <w:ind w:left="0" w:right="0" w:hanging="0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92874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1"/>
          <w:numId w:val="1"/>
        </w:numPr>
        <w:rPr/>
      </w:pPr>
      <w:r>
        <w:rPr/>
        <w:t>Кресло пациента</w:t>
      </w:r>
    </w:p>
    <w:p>
      <w:pPr>
        <w:pStyle w:val="Normal"/>
        <w:rPr/>
      </w:pPr>
      <w:r>
        <w:rPr/>
        <w:t xml:space="preserve">В современных </w:t>
      </w:r>
      <w:r>
        <w:rPr>
          <w:b/>
          <w:bCs/>
        </w:rPr>
        <w:t>стоматологических креслах</w:t>
      </w:r>
      <w:r>
        <w:rPr/>
        <w:t xml:space="preserve"> могут использоваться два разных типа привода: электромеханический либо гидравлический. Варианты с электромеханическим приводом отличаются большей степенью надежности. Даже если механизм выйдет из строя, врач сможет без особых сложностей закончить прием. При поломке гидравлических приводов наблюдается утечка масла, поэтому закончить лечение невозможно. </w:t>
      </w:r>
    </w:p>
    <w:p>
      <w:pPr>
        <w:pStyle w:val="Normal"/>
        <w:rPr/>
      </w:pPr>
      <w:r>
        <w:rPr/>
        <w:t xml:space="preserve">Важно также уделить внимание дизайну, устойчивости, </w:t>
      </w:r>
      <w:r>
        <w:rPr/>
        <w:t>износостойкости</w:t>
      </w:r>
      <w:r>
        <w:rPr/>
        <w:t xml:space="preserve"> материалов, используемых для обивки </w:t>
      </w:r>
      <w:r>
        <w:rPr/>
        <w:t>кресла</w:t>
      </w:r>
      <w:r>
        <w:rPr/>
        <w:t xml:space="preserve">, а также способу управления </w:t>
      </w:r>
      <w:r>
        <w:rPr/>
        <w:t>его высотой</w:t>
      </w:r>
      <w:r>
        <w:rPr/>
        <w:t xml:space="preserve">. </w:t>
      </w:r>
    </w:p>
    <w:p>
      <w:pPr>
        <w:pStyle w:val="2"/>
        <w:numPr>
          <w:ilvl w:val="1"/>
          <w:numId w:val="1"/>
        </w:numPr>
        <w:rPr/>
      </w:pPr>
      <w:r>
        <w:rPr/>
        <w:t>Блок врача</w:t>
      </w:r>
    </w:p>
    <w:p>
      <w:pPr>
        <w:pStyle w:val="Normal"/>
        <w:rPr/>
      </w:pPr>
      <w:r>
        <w:rPr/>
        <w:t>Эта часть является главным рабочим блоком все</w:t>
      </w:r>
      <w:r>
        <w:rPr/>
        <w:t>го комплекса</w:t>
      </w:r>
      <w:r>
        <w:rPr/>
        <w:t xml:space="preserve">. Выбирая подходящий вариант, в первую очередь, стоит определиться с требуемым </w:t>
      </w:r>
      <w:r>
        <w:rPr/>
        <w:t>комплектом</w:t>
      </w:r>
      <w:r>
        <w:rPr/>
        <w:t xml:space="preserve"> инструментов, а также способом и</w:t>
      </w:r>
      <w:r>
        <w:rPr/>
        <w:t>х</w:t>
      </w:r>
      <w:r>
        <w:rPr/>
        <w:t xml:space="preserve"> подачи. Существуют модели с верхней или нижней подачей, а также стационарным креплением.</w:t>
      </w:r>
    </w:p>
    <w:p>
      <w:pPr>
        <w:pStyle w:val="Normal"/>
        <w:rPr/>
      </w:pPr>
      <w:r>
        <w:rPr/>
        <w:t xml:space="preserve">Минимальный комплект </w:t>
      </w:r>
      <w:r>
        <w:rPr/>
        <w:t>приборов</w:t>
      </w:r>
      <w:r>
        <w:rPr/>
        <w:t xml:space="preserve"> состоит из следующих предметов:</w:t>
      </w:r>
    </w:p>
    <w:p>
      <w:pPr>
        <w:pStyle w:val="Normal"/>
        <w:numPr>
          <w:ilvl w:val="0"/>
          <w:numId w:val="3"/>
        </w:numPr>
        <w:rPr/>
      </w:pPr>
      <w:hyperlink r:id="rId3">
        <w:r>
          <w:rPr>
            <w:rStyle w:val="Style12"/>
          </w:rPr>
          <w:t>микромотор</w:t>
        </w:r>
      </w:hyperlink>
      <w:r>
        <w:rPr/>
        <w:t>,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специальный </w:t>
      </w:r>
      <w:r>
        <w:rPr/>
        <w:t>пистоле</w:t>
      </w:r>
      <w:r>
        <w:rPr/>
        <w:t>т</w:t>
      </w:r>
      <w:r>
        <w:rPr/>
        <w:t xml:space="preserve"> </w:t>
      </w:r>
      <w:r>
        <w:rPr/>
        <w:t>для подачи</w:t>
      </w:r>
      <w:r>
        <w:rPr/>
        <w:t xml:space="preserve"> воздух</w:t>
      </w:r>
      <w:r>
        <w:rPr/>
        <w:t>а</w:t>
      </w:r>
      <w:r>
        <w:rPr/>
        <w:t xml:space="preserve"> и вод</w:t>
      </w:r>
      <w:r>
        <w:rPr/>
        <w:t>ы</w:t>
      </w:r>
      <w:r>
        <w:rPr/>
        <w:t>,</w:t>
      </w:r>
    </w:p>
    <w:p>
      <w:pPr>
        <w:pStyle w:val="Normal"/>
        <w:numPr>
          <w:ilvl w:val="0"/>
          <w:numId w:val="3"/>
        </w:numPr>
        <w:rPr/>
      </w:pPr>
      <w:r>
        <w:rPr/>
        <w:t>турбинный наконечник.</w:t>
      </w:r>
    </w:p>
    <w:p>
      <w:pPr>
        <w:pStyle w:val="Normal"/>
        <w:rPr/>
      </w:pPr>
      <w:r>
        <w:rPr/>
        <w:t xml:space="preserve">При необходимости можно подобрать </w:t>
      </w:r>
      <w:r>
        <w:rPr>
          <w:b/>
          <w:bCs/>
        </w:rPr>
        <w:t xml:space="preserve">стоматологическую </w:t>
      </w:r>
      <w:r>
        <w:rPr>
          <w:b/>
          <w:bCs/>
        </w:rPr>
        <w:t>установку</w:t>
      </w:r>
      <w:r>
        <w:rPr/>
        <w:t xml:space="preserve">, оснащенную дополнительными инструментами: лампой, скалером, вторым микромотором и турбиной. Процесс смены инструментов осуществляется посредством так называемых «рукавов», которыми снабжены все установки. </w:t>
      </w:r>
    </w:p>
    <w:p>
      <w:pPr>
        <w:pStyle w:val="Normal"/>
        <w:rPr/>
      </w:pPr>
      <w:r>
        <w:rPr/>
        <w:t xml:space="preserve">Этот блок может быть </w:t>
      </w:r>
      <w:r>
        <w:rPr/>
        <w:t xml:space="preserve">как </w:t>
      </w:r>
      <w:r>
        <w:rPr/>
        <w:t>стационарны</w:t>
      </w:r>
      <w:r>
        <w:rPr/>
        <w:t xml:space="preserve">м, так и </w:t>
      </w:r>
      <w:r>
        <w:rPr/>
        <w:t xml:space="preserve">мобильным. В первом случае рукав для </w:t>
      </w:r>
      <w:r>
        <w:rPr/>
        <w:t>оборудования</w:t>
      </w:r>
      <w:r>
        <w:rPr/>
        <w:t xml:space="preserve"> зачастую находится вверху. Конструкция оборудования такова, что после использования инструменты устанавливаются на исходные позиции. Недостатком стационарных панелей является </w:t>
      </w:r>
      <w:r>
        <w:rPr/>
        <w:t>короткий</w:t>
      </w:r>
      <w:r>
        <w:rPr/>
        <w:t xml:space="preserve"> рукав. Часто врачу приходится отвлекаться на то, чтобы следить за тем, чтобы инструмент не упал. Если же речь идет о стационарных моделях с нижней подачей, то из гнезда для подключения инструментов часто загрязняются.</w:t>
      </w:r>
    </w:p>
    <w:p>
      <w:pPr>
        <w:pStyle w:val="Normal"/>
        <w:rPr/>
      </w:pPr>
      <w:r>
        <w:rPr/>
        <w:t xml:space="preserve">Мобильные блоки гораздо более просты и удобны в использовании. Кроме того, такой вариант исполнения гораздо компактней,а при выполнении различных задач стоматолог может легко перемещаться </w:t>
      </w:r>
      <w:r>
        <w:rPr/>
        <w:t>вокруг кресла</w:t>
      </w:r>
      <w:r>
        <w:rPr/>
        <w:t>.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23840" cy="346773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1"/>
          <w:numId w:val="1"/>
        </w:numPr>
        <w:rPr/>
      </w:pPr>
      <w:r>
        <w:rPr/>
        <w:t>Блок ассистента</w:t>
      </w:r>
    </w:p>
    <w:p>
      <w:pPr>
        <w:pStyle w:val="Normal"/>
        <w:rPr/>
      </w:pPr>
      <w:r>
        <w:rPr/>
        <w:t xml:space="preserve">Классические </w:t>
      </w:r>
      <w:r>
        <w:rPr>
          <w:b/>
          <w:bCs/>
        </w:rPr>
        <w:t>комплексы для стоматологов</w:t>
      </w:r>
      <w:r>
        <w:rPr/>
        <w:t xml:space="preserve"> оснащены </w:t>
      </w:r>
      <w:r>
        <w:rPr/>
        <w:t>ассистентским блоком</w:t>
      </w:r>
      <w:r>
        <w:rPr/>
        <w:t>, ко</w:t>
      </w:r>
      <w:r>
        <w:rPr/>
        <w:t>нструкция которого включает</w:t>
      </w:r>
      <w:r>
        <w:rPr/>
        <w:t xml:space="preserve"> систем</w:t>
      </w:r>
      <w:r>
        <w:rPr/>
        <w:t>у</w:t>
      </w:r>
      <w:r>
        <w:rPr/>
        <w:t xml:space="preserve"> отсоса и </w:t>
      </w:r>
      <w:r>
        <w:rPr/>
        <w:t xml:space="preserve">современный </w:t>
      </w:r>
      <w:r>
        <w:rPr/>
        <w:t xml:space="preserve">гидроблок. Последний необходим для максимально комфортного самочувствия пациента в процессе лечения. Он снабжен стаканом для воды, </w:t>
      </w:r>
      <w:r>
        <w:rPr/>
        <w:t>приспособлением для ополаскивания</w:t>
      </w:r>
      <w:r>
        <w:rPr/>
        <w:t xml:space="preserve"> и </w:t>
      </w:r>
      <w:r>
        <w:rPr/>
        <w:t>емкостью для устранения воды.</w:t>
      </w:r>
    </w:p>
    <w:p>
      <w:pPr>
        <w:pStyle w:val="Normal"/>
        <w:rPr/>
      </w:pPr>
      <w:r>
        <w:rPr/>
        <w:t xml:space="preserve">Дорогостоящие </w:t>
      </w:r>
      <w:r>
        <w:rPr>
          <w:b/>
          <w:bCs/>
        </w:rPr>
        <w:t>стоматологические установки</w:t>
      </w:r>
      <w:r>
        <w:rPr/>
        <w:t xml:space="preserve"> дополнительно снабжены полезными приспособлениями: фильтрами амальгамы, </w:t>
      </w:r>
      <w:r>
        <w:rPr/>
        <w:t>приспособлениями, собирающими</w:t>
      </w:r>
      <w:r>
        <w:rPr/>
        <w:t xml:space="preserve"> тверды</w:t>
      </w:r>
      <w:r>
        <w:rPr/>
        <w:t>е</w:t>
      </w:r>
      <w:r>
        <w:rPr/>
        <w:t xml:space="preserve"> частиц</w:t>
      </w:r>
      <w:r>
        <w:rPr/>
        <w:t>ы</w:t>
      </w:r>
      <w:r>
        <w:rPr/>
        <w:t xml:space="preserve">, системой подогрева воды, гигиены, </w:t>
      </w:r>
      <w:r>
        <w:rPr/>
        <w:t xml:space="preserve">а также </w:t>
      </w:r>
      <w:r>
        <w:rPr/>
        <w:t>дезинфекции. Все эти устройства позволяют очищать гидроблок автоматически, что способствует продлению его срок</w:t>
      </w:r>
      <w:r>
        <w:rPr/>
        <w:t>а</w:t>
      </w:r>
      <w:r>
        <w:rPr/>
        <w:t xml:space="preserve"> эксплуатации.</w:t>
      </w:r>
    </w:p>
    <w:p>
      <w:pPr>
        <w:pStyle w:val="Normal"/>
        <w:rPr/>
      </w:pPr>
      <w:r>
        <w:rPr>
          <w:b/>
          <w:bCs/>
        </w:rPr>
        <w:t>Стоматологические установки</w:t>
      </w:r>
      <w:r>
        <w:rPr/>
        <w:t xml:space="preserve"> ведущих брендов снабжены системой отсоса </w:t>
      </w:r>
      <w:r>
        <w:rPr/>
        <w:t>слюны</w:t>
      </w:r>
      <w:r>
        <w:rPr/>
        <w:t xml:space="preserve">. Она </w:t>
      </w:r>
      <w:r>
        <w:rPr/>
        <w:t>бывает</w:t>
      </w:r>
      <w:r>
        <w:rPr/>
        <w:t xml:space="preserve"> инжекторно</w:t>
      </w:r>
      <w:r>
        <w:rPr/>
        <w:t>го</w:t>
      </w:r>
      <w:r>
        <w:rPr/>
        <w:t xml:space="preserve"> или же воздушно</w:t>
      </w:r>
      <w:r>
        <w:rPr/>
        <w:t>го типа</w:t>
      </w:r>
      <w:r>
        <w:rPr/>
        <w:t>.</w:t>
      </w:r>
    </w:p>
    <w:p>
      <w:pPr>
        <w:pStyle w:val="2"/>
        <w:numPr>
          <w:ilvl w:val="1"/>
          <w:numId w:val="1"/>
        </w:numPr>
        <w:rPr/>
      </w:pPr>
      <w:r>
        <w:rPr/>
        <w:t>Требования к стоматологической установке</w:t>
      </w:r>
    </w:p>
    <w:p>
      <w:pPr>
        <w:pStyle w:val="Normal"/>
        <w:rPr/>
      </w:pPr>
      <w:r>
        <w:rPr/>
        <w:t>Выбирая подходящую модель, важно уделить внимание следующим моментам:</w:t>
      </w:r>
    </w:p>
    <w:p>
      <w:pPr>
        <w:pStyle w:val="Normal"/>
        <w:numPr>
          <w:ilvl w:val="0"/>
          <w:numId w:val="4"/>
        </w:numPr>
        <w:rPr/>
      </w:pPr>
      <w:r>
        <w:rPr/>
        <w:t>надежности конструкции (лучше купить качественную дорогостоящую установку, которая прослужит без сбоев и поломок много лет, чем сэкономить на покупке и каждый месяц тратить немалые средства на ремонт),</w:t>
      </w:r>
    </w:p>
    <w:p>
      <w:pPr>
        <w:pStyle w:val="Normal"/>
        <w:numPr>
          <w:ilvl w:val="0"/>
          <w:numId w:val="4"/>
        </w:numPr>
        <w:rPr/>
      </w:pPr>
      <w:r>
        <w:rPr/>
        <w:t>долговечности (качественные модели известных торговых марок даже спустя годы отлично справляются со всеми функциями),</w:t>
      </w:r>
    </w:p>
    <w:p>
      <w:pPr>
        <w:pStyle w:val="Normal"/>
        <w:numPr>
          <w:ilvl w:val="0"/>
          <w:numId w:val="4"/>
        </w:numPr>
        <w:rPr/>
      </w:pPr>
      <w:r>
        <w:rPr/>
        <w:t>способности к обновлению (оптимальный вариант — покупка оборудования с возможностью замены различных блоков или добавлением новых функциональных элементов).</w:t>
      </w:r>
    </w:p>
    <w:p>
      <w:pPr>
        <w:pStyle w:val="Normal"/>
        <w:rPr/>
      </w:pPr>
      <w:r>
        <w:rPr/>
        <w:t xml:space="preserve">При этом вовсе необязательно покупать самые дорогие аппараты. </w:t>
      </w:r>
      <w:r>
        <w:rPr>
          <w:b/>
          <w:bCs/>
        </w:rPr>
        <w:t>Стоматологическая установка</w:t>
      </w:r>
      <w:r>
        <w:rPr/>
        <w:t xml:space="preserve"> должна соответствовать </w:t>
      </w:r>
      <w:r>
        <w:rPr/>
        <w:t>выполняемым операциям</w:t>
      </w:r>
      <w:r>
        <w:rPr/>
        <w:t>, но при этом несколько превосходить квалификацию врача, чтобы он мог расти, развиваться и осваивать новые методики и техники.</w:t>
      </w:r>
    </w:p>
    <w:p>
      <w:pPr>
        <w:pStyle w:val="Normal"/>
        <w:rPr/>
      </w:pPr>
      <w:r>
        <w:rPr/>
        <w:t xml:space="preserve">Важно также отталкиваться от размеров кабинета. Согласно санитарным нормам, кабинет стоматолога должна быть не менее 14 кв.м. При этом само оборудование занимает </w:t>
      </w:r>
      <w:r>
        <w:rPr/>
        <w:t xml:space="preserve">в среднем </w:t>
      </w:r>
      <w:r>
        <w:rPr/>
        <w:t>5 кв.м.</w:t>
      </w:r>
    </w:p>
    <w:p>
      <w:pPr>
        <w:pStyle w:val="Normal"/>
        <w:rPr/>
      </w:pPr>
      <w:r>
        <w:rPr/>
        <w:t xml:space="preserve">Отыскать высокопрофессиональные </w:t>
      </w:r>
      <w:hyperlink r:id="rId5">
        <w:r>
          <w:rPr>
            <w:rStyle w:val="Style12"/>
            <w:b/>
            <w:bCs/>
          </w:rPr>
          <w:t>стоматологические установки</w:t>
        </w:r>
      </w:hyperlink>
      <w:r>
        <w:rPr/>
        <w:t xml:space="preserve"> различных типов и с разным функционалом проще всего на нашем сайте. Мы предлагаем надежные и удобные в использовании решения ведущих производителей стоматологического оборудования.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Style12"/>
        </w:rPr>
      </w:pPr>
      <w:hyperlink r:id="rId6">
        <w:r>
          <w:rPr>
            <w:rStyle w:val="Style12"/>
          </w:rPr>
          <w:t>https://text.ru/antiplagiat/59253f3de5d0f</w:t>
        </w:r>
      </w:hyperlink>
    </w:p>
    <w:p>
      <w:pPr>
        <w:pStyle w:val="Normal"/>
        <w:rPr/>
      </w:pPr>
      <w:r>
        <w:rPr/>
      </w:r>
    </w:p>
    <w:sectPr>
      <w:footerReference w:type="default" r:id="rId7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Ниж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19">
    <w:name w:val="Цитата"/>
    <w:basedOn w:val="Normal"/>
    <w:pPr>
      <w:spacing w:before="0" w:after="283"/>
      <w:ind w:left="567" w:right="567" w:hanging="0"/>
    </w:pPr>
    <w:rPr/>
  </w:style>
  <w:style w:type="paragraph" w:styleId="Style20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1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lanomed.ru/mikromotory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lanomed.ru/stomatologicheskie-ustanovki" TargetMode="External"/><Relationship Id="rId6" Type="http://schemas.openxmlformats.org/officeDocument/2006/relationships/hyperlink" Target="https://text.ru/antiplagiat/59253f3de5d0f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2017-05-24T10:06:19Z</dcterms:created>
  <dc:language>ru-RU</dc:language>
  <cp:revision>0</cp:revision>
</cp:coreProperties>
</file>